
<file path=[Content_Types].xml><?xml version="1.0" encoding="utf-8"?>
<Types xmlns="http://schemas.openxmlformats.org/package/2006/content-types">
  <Default Extension="xml" ContentType="application/xml"/>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r>
        <w:rPr>
          <w:rFonts w:hint="eastAsia"/>
          <w:b/>
          <w:sz w:val="36"/>
          <w:szCs w:val="36"/>
        </w:rPr>
        <w:t>“电建招聘进校园”企业简介--宁夏设计院有限公司</w:t>
      </w:r>
    </w:p>
    <w:p>
      <w:pPr>
        <w:ind w:firstLine="643" w:firstLineChars="200"/>
        <w:rPr>
          <w:rFonts w:ascii="仿宋_GB2312" w:eastAsia="仿宋_GB2312"/>
          <w:b/>
          <w:sz w:val="32"/>
          <w:szCs w:val="32"/>
        </w:rPr>
      </w:pPr>
      <w:r>
        <w:rPr>
          <w:rFonts w:hint="eastAsia" w:ascii="仿宋_GB2312" w:eastAsia="仿宋_GB2312"/>
          <w:b/>
          <w:sz w:val="32"/>
          <w:szCs w:val="32"/>
        </w:rPr>
        <w:t>一、企业简况</w:t>
      </w:r>
    </w:p>
    <w:p>
      <w:pPr>
        <w:ind w:firstLine="640" w:firstLineChars="200"/>
        <w:rPr>
          <w:rFonts w:ascii="仿宋_GB2312" w:eastAsia="仿宋_GB2312"/>
          <w:sz w:val="32"/>
          <w:szCs w:val="32"/>
        </w:rPr>
      </w:pPr>
      <w:bookmarkStart w:id="0" w:name="_GoBack"/>
      <w:r>
        <w:rPr>
          <w:rFonts w:hint="eastAsia" w:ascii="仿宋_GB2312" w:eastAsia="仿宋_GB2312"/>
          <w:sz w:val="32"/>
          <w:szCs w:val="32"/>
        </w:rPr>
        <w:t>宁夏回族自治区电力设计院有限公司</w:t>
      </w:r>
      <w:bookmarkEnd w:id="0"/>
      <w:r>
        <w:rPr>
          <w:rFonts w:hint="eastAsia" w:ascii="仿宋_GB2312" w:eastAsia="仿宋_GB2312"/>
          <w:sz w:val="32"/>
          <w:szCs w:val="32"/>
        </w:rPr>
        <w:t>（以下简称公司）始建于1958年，是中国电力建设股份有限公司河北省电力勘测设计研究院全资子公司，是自治区唯一一家集工程勘察（岩土工程&lt;勘察、设计&gt;、工程测量）专业类甲级、电力行业（送电工程、变电工程）专业甲级、电力行业（风力发电、新能源发电）专业乙级、工程测绘乙级、地质灾害治理工程丙级资质为一体，专门从事输变电工程勘测设计、电力系统规划设计、风力发电及新能源发电勘测设计、电力通信工程设计、工程地质、工程测量、岩土工程设计及工程项目总承包等技术和管理咨询服务的中央企业。公司注册资金2亿元，是高新技术企业、全国电力勘测设计AAA级信用企业、电力安全生产标准化一级企业、宁夏能源规划研究中心、自治区文明单位、2017年宁夏百强企业，并持续保持“质量、环境和职业健康安全”三标管理体系认证证书。</w:t>
      </w:r>
    </w:p>
    <w:p>
      <w:pPr>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公司总部</w:t>
      </w:r>
      <w:r>
        <w:rPr>
          <w:rFonts w:hint="eastAsia" w:ascii="仿宋_GB2312" w:eastAsia="仿宋_GB2312"/>
          <w:sz w:val="32"/>
          <w:szCs w:val="32"/>
        </w:rPr>
        <w:t>驻地为</w:t>
      </w:r>
      <w:r>
        <w:rPr>
          <w:rFonts w:hint="eastAsia" w:ascii="仿宋_GB2312" w:hAnsi="宋体" w:eastAsia="仿宋_GB2312"/>
          <w:color w:val="000000"/>
          <w:sz w:val="32"/>
          <w:szCs w:val="32"/>
        </w:rPr>
        <w:t>宁夏银川市金凤区大连路3120号。</w:t>
      </w:r>
      <w:r>
        <w:rPr>
          <w:rFonts w:hint="eastAsia" w:ascii="仿宋_GB2312" w:eastAsia="仿宋_GB2312"/>
          <w:sz w:val="32"/>
          <w:szCs w:val="32"/>
        </w:rPr>
        <w:t>项目工程遍布宁夏、内蒙古、甘肃、青海、陕西、新疆、河北、天津、四川、重庆、上海、福建、浙江、河南等十余个省（区、市），承担的输变电设计、设计监理覆盖国内所有电</w:t>
      </w:r>
      <w:r>
        <w:rPr>
          <w:rFonts w:hint="eastAsia" w:ascii="仿宋_GB2312" w:hAnsi="宋体" w:eastAsia="仿宋_GB2312"/>
          <w:color w:val="000000"/>
          <w:sz w:val="32"/>
          <w:szCs w:val="32"/>
        </w:rPr>
        <w:t>压等级。在输变电设计、</w:t>
      </w:r>
      <w:r>
        <w:rPr>
          <w:rFonts w:ascii="仿宋_GB2312" w:hAnsi="宋体" w:eastAsia="仿宋_GB2312"/>
          <w:color w:val="000000"/>
          <w:sz w:val="32"/>
          <w:szCs w:val="32"/>
        </w:rPr>
        <w:t>EPC</w:t>
      </w:r>
      <w:r>
        <w:rPr>
          <w:rFonts w:hint="eastAsia" w:ascii="仿宋_GB2312" w:hAnsi="宋体" w:eastAsia="仿宋_GB2312"/>
          <w:color w:val="000000"/>
          <w:sz w:val="32"/>
          <w:szCs w:val="32"/>
        </w:rPr>
        <w:t>综合项目系统管理等方面取得7项发明专利、</w:t>
      </w:r>
      <w:r>
        <w:rPr>
          <w:rFonts w:ascii="仿宋_GB2312" w:hAnsi="宋体" w:eastAsia="仿宋_GB2312"/>
          <w:color w:val="000000"/>
          <w:sz w:val="32"/>
          <w:szCs w:val="32"/>
        </w:rPr>
        <w:t>3</w:t>
      </w:r>
      <w:r>
        <w:rPr>
          <w:rFonts w:hint="eastAsia" w:ascii="仿宋_GB2312" w:hAnsi="宋体" w:eastAsia="仿宋_GB2312"/>
          <w:color w:val="000000"/>
          <w:sz w:val="32"/>
          <w:szCs w:val="32"/>
        </w:rPr>
        <w:t>4项实用新型专利和</w:t>
      </w:r>
      <w:r>
        <w:rPr>
          <w:rFonts w:ascii="仿宋_GB2312" w:hAnsi="宋体" w:eastAsia="仿宋_GB2312"/>
          <w:color w:val="000000"/>
          <w:sz w:val="32"/>
          <w:szCs w:val="32"/>
        </w:rPr>
        <w:t>7</w:t>
      </w:r>
      <w:r>
        <w:rPr>
          <w:rFonts w:hint="eastAsia" w:ascii="仿宋_GB2312" w:hAnsi="宋体" w:eastAsia="仿宋_GB2312"/>
          <w:color w:val="000000"/>
          <w:sz w:val="32"/>
          <w:szCs w:val="32"/>
        </w:rPr>
        <w:t>项软件著作权授权及诸多工程奖项。</w:t>
      </w:r>
      <w:r>
        <w:rPr>
          <w:rFonts w:ascii="仿宋_GB2312" w:hAnsi="宋体" w:eastAsia="仿宋_GB2312"/>
          <w:color w:val="000000"/>
          <w:sz w:val="32"/>
          <w:szCs w:val="32"/>
        </w:rPr>
        <w:t xml:space="preserve"> </w:t>
      </w:r>
    </w:p>
    <w:p>
      <w:pPr>
        <w:ind w:firstLine="643" w:firstLineChars="200"/>
        <w:rPr>
          <w:rFonts w:ascii="仿宋_GB2312" w:eastAsia="仿宋_GB2312"/>
          <w:b/>
          <w:sz w:val="32"/>
          <w:szCs w:val="32"/>
        </w:rPr>
      </w:pPr>
      <w:r>
        <w:rPr>
          <w:rFonts w:hint="eastAsia" w:ascii="仿宋_GB2312" w:eastAsia="仿宋_GB2312"/>
          <w:b/>
          <w:sz w:val="32"/>
          <w:szCs w:val="32"/>
        </w:rPr>
        <w:t>二、招聘计划</w:t>
      </w:r>
    </w:p>
    <w:tbl>
      <w:tblPr>
        <w:tblStyle w:val="7"/>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1701"/>
        <w:gridCol w:w="19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Pr>
          <w:p>
            <w:pPr>
              <w:jc w:val="center"/>
              <w:rPr>
                <w:sz w:val="28"/>
                <w:szCs w:val="28"/>
              </w:rPr>
            </w:pPr>
            <w:r>
              <w:rPr>
                <w:rFonts w:hint="eastAsia"/>
                <w:sz w:val="28"/>
                <w:szCs w:val="28"/>
              </w:rPr>
              <w:t>招聘专业范围</w:t>
            </w:r>
          </w:p>
        </w:tc>
        <w:tc>
          <w:tcPr>
            <w:tcW w:w="1701" w:type="dxa"/>
          </w:tcPr>
          <w:p>
            <w:pPr>
              <w:jc w:val="center"/>
              <w:rPr>
                <w:sz w:val="28"/>
                <w:szCs w:val="28"/>
              </w:rPr>
            </w:pPr>
            <w:r>
              <w:rPr>
                <w:rFonts w:hint="eastAsia"/>
                <w:sz w:val="28"/>
                <w:szCs w:val="28"/>
              </w:rPr>
              <w:t>招聘总人数</w:t>
            </w:r>
          </w:p>
        </w:tc>
        <w:tc>
          <w:tcPr>
            <w:tcW w:w="1985" w:type="dxa"/>
          </w:tcPr>
          <w:p>
            <w:pPr>
              <w:spacing w:line="380" w:lineRule="exact"/>
              <w:jc w:val="center"/>
              <w:rPr>
                <w:sz w:val="28"/>
                <w:szCs w:val="28"/>
              </w:rPr>
            </w:pPr>
            <w:r>
              <w:rPr>
                <w:rFonts w:hint="eastAsia"/>
                <w:sz w:val="28"/>
                <w:szCs w:val="28"/>
              </w:rPr>
              <w:t>学历层次及外语水平要求</w:t>
            </w:r>
          </w:p>
        </w:tc>
        <w:tc>
          <w:tcPr>
            <w:tcW w:w="1559" w:type="dxa"/>
          </w:tcPr>
          <w:p>
            <w:pPr>
              <w:jc w:val="center"/>
              <w:rPr>
                <w:sz w:val="28"/>
                <w:szCs w:val="28"/>
              </w:rPr>
            </w:pPr>
            <w:r>
              <w:rPr>
                <w:rFonts w:hint="eastAsia"/>
                <w:sz w:val="28"/>
                <w:szCs w:val="28"/>
              </w:rPr>
              <w:t>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center"/>
          </w:tcPr>
          <w:p>
            <w:pPr>
              <w:spacing w:line="400" w:lineRule="exact"/>
              <w:jc w:val="center"/>
              <w:rPr>
                <w:sz w:val="28"/>
                <w:szCs w:val="28"/>
              </w:rPr>
            </w:pPr>
            <w:r>
              <w:rPr>
                <w:rFonts w:hint="eastAsia" w:ascii="仿宋_GB2312" w:eastAsia="仿宋_GB2312"/>
                <w:sz w:val="32"/>
                <w:szCs w:val="32"/>
              </w:rPr>
              <w:t>电力系统及自动化相关、通信工程、测绘工程、土木工程、岩土工程、结构工程、会计学相关</w:t>
            </w:r>
          </w:p>
        </w:tc>
        <w:tc>
          <w:tcPr>
            <w:tcW w:w="1701" w:type="dxa"/>
            <w:vAlign w:val="center"/>
          </w:tcPr>
          <w:p>
            <w:pPr>
              <w:jc w:val="center"/>
              <w:rPr>
                <w:sz w:val="28"/>
                <w:szCs w:val="28"/>
              </w:rPr>
            </w:pPr>
            <w:r>
              <w:rPr>
                <w:rFonts w:hint="eastAsia"/>
                <w:sz w:val="28"/>
                <w:szCs w:val="28"/>
              </w:rPr>
              <w:t>15</w:t>
            </w:r>
          </w:p>
        </w:tc>
        <w:tc>
          <w:tcPr>
            <w:tcW w:w="1985" w:type="dxa"/>
            <w:vAlign w:val="center"/>
          </w:tcPr>
          <w:p>
            <w:pPr>
              <w:spacing w:line="400" w:lineRule="exact"/>
              <w:jc w:val="center"/>
              <w:rPr>
                <w:sz w:val="28"/>
                <w:szCs w:val="28"/>
              </w:rPr>
            </w:pPr>
            <w:r>
              <w:rPr>
                <w:rFonts w:hint="eastAsia" w:ascii="仿宋_GB2312" w:eastAsia="仿宋_GB2312"/>
                <w:sz w:val="32"/>
                <w:szCs w:val="32"/>
              </w:rPr>
              <w:t>985、211院校，大学本科及以上</w:t>
            </w:r>
          </w:p>
        </w:tc>
        <w:tc>
          <w:tcPr>
            <w:tcW w:w="1559" w:type="dxa"/>
            <w:vAlign w:val="center"/>
          </w:tcPr>
          <w:p>
            <w:pPr>
              <w:jc w:val="center"/>
              <w:rPr>
                <w:sz w:val="28"/>
                <w:szCs w:val="28"/>
              </w:rPr>
            </w:pPr>
          </w:p>
        </w:tc>
      </w:tr>
    </w:tbl>
    <w:p>
      <w:pPr>
        <w:ind w:firstLine="643" w:firstLineChars="200"/>
        <w:rPr>
          <w:rFonts w:ascii="仿宋_GB2312" w:eastAsia="仿宋_GB2312"/>
          <w:b/>
          <w:sz w:val="32"/>
          <w:szCs w:val="32"/>
        </w:rPr>
      </w:pPr>
      <w:r>
        <w:rPr>
          <w:rFonts w:hint="eastAsia" w:ascii="仿宋_GB2312" w:eastAsia="仿宋_GB2312"/>
          <w:b/>
          <w:sz w:val="32"/>
          <w:szCs w:val="32"/>
        </w:rPr>
        <w:t>三、联系方式</w:t>
      </w:r>
    </w:p>
    <w:p>
      <w:pPr>
        <w:ind w:firstLine="640" w:firstLineChars="200"/>
        <w:rPr>
          <w:rFonts w:ascii="仿宋_GB2312" w:eastAsia="仿宋_GB2312"/>
          <w:sz w:val="32"/>
          <w:szCs w:val="32"/>
        </w:rPr>
      </w:pPr>
      <w:r>
        <w:rPr>
          <w:rFonts w:hint="eastAsia" w:ascii="仿宋_GB2312" w:eastAsia="仿宋_GB2312"/>
          <w:sz w:val="32"/>
          <w:szCs w:val="32"/>
        </w:rPr>
        <w:t>1.联系人：王鹏；    联系方式：18465189949；</w:t>
      </w:r>
    </w:p>
    <w:p>
      <w:pPr>
        <w:ind w:firstLine="640" w:firstLineChars="200"/>
        <w:rPr>
          <w:rFonts w:ascii="Times New Roman" w:hAnsi="Times New Roman" w:cs="Times New Roman"/>
          <w:snapToGrid w:val="0"/>
          <w:color w:val="000000"/>
          <w:w w:val="0"/>
          <w:kern w:val="0"/>
          <w:sz w:val="0"/>
          <w:szCs w:val="0"/>
          <w:u w:color="000000"/>
          <w:shd w:val="clear" w:color="000000" w:fill="000000"/>
        </w:rPr>
      </w:pPr>
      <w:r>
        <w:rPr>
          <w:rFonts w:hint="eastAsia" w:ascii="仿宋_GB2312" w:eastAsia="仿宋_GB2312"/>
          <w:sz w:val="32"/>
          <w:szCs w:val="32"/>
        </w:rPr>
        <w:t>2.</w:t>
      </w:r>
      <w:r>
        <w:rPr>
          <w:rFonts w:ascii="Times New Roman" w:hAnsi="Times New Roman" w:eastAsia="Times New Roman" w:cs="Times New Roman"/>
          <w:snapToGrid w:val="0"/>
          <w:color w:val="000000"/>
          <w:w w:val="0"/>
          <w:kern w:val="0"/>
          <w:sz w:val="0"/>
          <w:szCs w:val="0"/>
          <w:u w:color="000000"/>
          <w:shd w:val="clear" w:color="000000" w:fill="000000"/>
        </w:rPr>
        <w:t xml:space="preserve"> </w:t>
      </w:r>
      <w:r>
        <w:rPr>
          <w:rFonts w:hint="eastAsia" w:ascii="仿宋_GB2312" w:eastAsia="仿宋_GB2312"/>
          <w:sz w:val="32"/>
          <w:szCs w:val="32"/>
        </w:rPr>
        <w:drawing>
          <wp:inline distT="0" distB="0" distL="0" distR="0">
            <wp:extent cx="1095375" cy="1076325"/>
            <wp:effectExtent l="19050" t="0" r="9525" b="0"/>
            <wp:docPr id="5" name="图片 1" descr="C:\Documents and Settings\wangpeng\桌面\2018年招聘情况\院微信公众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C:\Documents and Settings\wangpeng\桌面\2018年招聘情况\院微信公众号.jpg"/>
                    <pic:cNvPicPr>
                      <a:picLocks noChangeAspect="1" noChangeArrowheads="1"/>
                    </pic:cNvPicPr>
                  </pic:nvPicPr>
                  <pic:blipFill>
                    <a:blip r:embed="rId4" cstate="print"/>
                    <a:srcRect/>
                    <a:stretch>
                      <a:fillRect/>
                    </a:stretch>
                  </pic:blipFill>
                  <pic:spPr>
                    <a:xfrm>
                      <a:off x="0" y="0"/>
                      <a:ext cx="1095375" cy="1076325"/>
                    </a:xfrm>
                    <a:prstGeom prst="rect">
                      <a:avLst/>
                    </a:prstGeom>
                    <a:noFill/>
                    <a:ln w="9525">
                      <a:noFill/>
                      <a:miter lim="800000"/>
                      <a:headEnd/>
                      <a:tailEnd/>
                    </a:ln>
                  </pic:spPr>
                </pic:pic>
              </a:graphicData>
            </a:graphic>
          </wp:inline>
        </w:drawing>
      </w:r>
      <w:r>
        <w:rPr>
          <w:rFonts w:hint="eastAsia" w:ascii="Times New Roman" w:hAnsi="Times New Roman" w:cs="Times New Roman"/>
          <w:snapToGrid w:val="0"/>
          <w:color w:val="FFFFFF" w:themeColor="background1"/>
          <w:w w:val="0"/>
          <w:kern w:val="0"/>
          <w:sz w:val="36"/>
          <w:szCs w:val="36"/>
          <w:u w:color="000000"/>
        </w:rPr>
        <w:t xml:space="preserve">       </w:t>
      </w:r>
      <w:r>
        <w:rPr>
          <w:rFonts w:hint="eastAsia" w:ascii="仿宋_GB2312" w:eastAsia="仿宋_GB2312"/>
          <w:sz w:val="32"/>
          <w:szCs w:val="32"/>
        </w:rPr>
        <w:drawing>
          <wp:inline distT="0" distB="0" distL="0" distR="0">
            <wp:extent cx="1002665" cy="1076325"/>
            <wp:effectExtent l="19050" t="0" r="6985" b="0"/>
            <wp:docPr id="1" name="图片 2" descr="C:\Documents and Settings\wangpeng\桌面\2018年招聘情况\院外网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Documents and Settings\wangpeng\桌面\2018年招聘情况\院外网二维码.jpg"/>
                    <pic:cNvPicPr>
                      <a:picLocks noChangeAspect="1" noChangeArrowheads="1"/>
                    </pic:cNvPicPr>
                  </pic:nvPicPr>
                  <pic:blipFill>
                    <a:blip r:embed="rId5" cstate="print"/>
                    <a:srcRect/>
                    <a:stretch>
                      <a:fillRect/>
                    </a:stretch>
                  </pic:blipFill>
                  <pic:spPr>
                    <a:xfrm>
                      <a:off x="0" y="0"/>
                      <a:ext cx="1002665" cy="1076325"/>
                    </a:xfrm>
                    <a:prstGeom prst="rect">
                      <a:avLst/>
                    </a:prstGeom>
                    <a:noFill/>
                    <a:ln w="9525">
                      <a:noFill/>
                      <a:miter lim="800000"/>
                      <a:headEnd/>
                      <a:tailEnd/>
                    </a:ln>
                  </pic:spPr>
                </pic:pic>
              </a:graphicData>
            </a:graphic>
          </wp:inline>
        </w:drawing>
      </w:r>
    </w:p>
    <w:p>
      <w:pPr>
        <w:ind w:firstLine="829" w:firstLineChars="295"/>
        <w:rPr>
          <w:rFonts w:ascii="仿宋_GB2312" w:hAnsi="Times New Roman" w:eastAsia="仿宋_GB2312" w:cs="Times New Roman"/>
          <w:b/>
          <w:snapToGrid w:val="0"/>
          <w:color w:val="000000"/>
          <w:w w:val="0"/>
          <w:kern w:val="0"/>
          <w:sz w:val="2"/>
          <w:szCs w:val="0"/>
          <w:u w:color="000000"/>
          <w:shd w:val="clear" w:color="000000" w:fill="000000"/>
        </w:rPr>
      </w:pPr>
      <w:r>
        <w:rPr>
          <w:rFonts w:hint="eastAsia" w:ascii="仿宋_GB2312" w:eastAsia="仿宋_GB2312"/>
          <w:b/>
          <w:sz w:val="28"/>
          <w:szCs w:val="24"/>
        </w:rPr>
        <w:t>公司微信公众号       公司外网二维码</w:t>
      </w:r>
    </w:p>
    <w:p>
      <w:pPr>
        <w:rPr>
          <w:rFonts w:ascii="仿宋_GB2312"/>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2CB"/>
    <w:rsid w:val="00095BD9"/>
    <w:rsid w:val="000E68AE"/>
    <w:rsid w:val="00147D2C"/>
    <w:rsid w:val="0016047E"/>
    <w:rsid w:val="002703E8"/>
    <w:rsid w:val="002829CD"/>
    <w:rsid w:val="00293DA6"/>
    <w:rsid w:val="004E7047"/>
    <w:rsid w:val="00547C4B"/>
    <w:rsid w:val="00576A3C"/>
    <w:rsid w:val="00605612"/>
    <w:rsid w:val="0062039B"/>
    <w:rsid w:val="006645D6"/>
    <w:rsid w:val="006A7C4D"/>
    <w:rsid w:val="006F3909"/>
    <w:rsid w:val="00732AF8"/>
    <w:rsid w:val="007D2992"/>
    <w:rsid w:val="008C29BF"/>
    <w:rsid w:val="00A637DD"/>
    <w:rsid w:val="00B532CB"/>
    <w:rsid w:val="00B60F00"/>
    <w:rsid w:val="00E17C98"/>
    <w:rsid w:val="00F04367"/>
    <w:rsid w:val="00F47578"/>
    <w:rsid w:val="00F50044"/>
    <w:rsid w:val="00F7023C"/>
    <w:rsid w:val="00FB06AE"/>
    <w:rsid w:val="00FF5499"/>
    <w:rsid w:val="55E52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semiHidden/>
    <w:qFormat/>
    <w:uiPriority w:val="99"/>
    <w:rPr>
      <w:sz w:val="18"/>
      <w:szCs w:val="18"/>
    </w:rPr>
  </w:style>
  <w:style w:type="character" w:customStyle="1" w:styleId="9">
    <w:name w:val="页脚 Char"/>
    <w:basedOn w:val="5"/>
    <w:link w:val="3"/>
    <w:semiHidden/>
    <w:qFormat/>
    <w:uiPriority w:val="99"/>
    <w:rPr>
      <w:sz w:val="18"/>
      <w:szCs w:val="18"/>
    </w:rPr>
  </w:style>
  <w:style w:type="character" w:customStyle="1" w:styleId="10">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110</Words>
  <Characters>628</Characters>
  <Lines>5</Lines>
  <Paragraphs>1</Paragraphs>
  <TotalTime>52</TotalTime>
  <ScaleCrop>false</ScaleCrop>
  <LinksUpToDate>false</LinksUpToDate>
  <CharactersWithSpaces>737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2018-05-14T06:04:00Z</dcterms:created>
  <dc:creator>张锐</dc:creator>
  <cp:lastModifiedBy>Monica巩琪</cp:lastModifiedBy>
  <dcterms:modified xsi:type="dcterms:W3CDTF">2018-09-11T00:45:39Z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